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35043B" w:rsidRPr="000F2534" w:rsidRDefault="00682A0A" w:rsidP="000F2534">
      <w:pPr>
        <w:pStyle w:val="Listenabsatz"/>
        <w:numPr>
          <w:ilvl w:val="0"/>
          <w:numId w:val="39"/>
        </w:numPr>
        <w:rPr>
          <w:rFonts w:ascii="Tahoma" w:hAnsi="Tahoma" w:cs="Tahoma"/>
        </w:rPr>
      </w:pPr>
      <w:r>
        <w:rPr>
          <w:rFonts w:ascii="Tahoma" w:hAnsi="Tahoma" w:cs="Tahoma"/>
        </w:rPr>
        <w:t>Martin Kronauer</w:t>
      </w:r>
      <w:r w:rsidR="000F253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Was kann die Inklusionsdebatte von der Exklusionsdebatte lernen?</w:t>
      </w:r>
      <w:r w:rsidR="000F2534">
        <w:rPr>
          <w:rFonts w:ascii="Tahoma" w:hAnsi="Tahoma" w:cs="Tahoma"/>
        </w:rPr>
        <w:t xml:space="preserve"> </w:t>
      </w:r>
      <w:hyperlink r:id="rId6" w:history="1">
        <w:r w:rsidR="000F2534" w:rsidRPr="00F36354">
          <w:rPr>
            <w:rStyle w:val="Hyperlink"/>
            <w:rFonts w:ascii="Arial" w:hAnsi="Arial" w:cs="Arial"/>
          </w:rPr>
          <w:t>→</w:t>
        </w:r>
        <w:r w:rsidR="000F2534">
          <w:rPr>
            <w:rStyle w:val="Hyperlink"/>
            <w:rFonts w:ascii="Arial" w:hAnsi="Arial" w:cs="Arial"/>
          </w:rPr>
          <w:t xml:space="preserve"> </w:t>
        </w:r>
        <w:r w:rsidR="000F2534">
          <w:rPr>
            <w:rStyle w:val="Hyperlink"/>
            <w:rFonts w:ascii="Tahoma" w:hAnsi="Tahoma" w:cs="Tahoma"/>
          </w:rPr>
          <w:t>zu</w:t>
        </w:r>
        <w:r w:rsidR="000F2534" w:rsidRPr="00F36354">
          <w:rPr>
            <w:rStyle w:val="Hyperlink"/>
            <w:rFonts w:ascii="Tahoma" w:hAnsi="Tahoma" w:cs="Tahoma"/>
          </w:rPr>
          <w:t>m Text</w:t>
        </w:r>
      </w:hyperlink>
    </w:p>
    <w:p w:rsidR="00B868EB" w:rsidRDefault="00B868EB" w:rsidP="009706F4">
      <w:pPr>
        <w:rPr>
          <w:rFonts w:ascii="Tahoma" w:hAnsi="Tahoma" w:cs="Tahoma"/>
        </w:rPr>
      </w:pPr>
    </w:p>
    <w:p w:rsidR="00682A0A" w:rsidRDefault="00682A0A" w:rsidP="00682A0A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Dietke</w:t>
      </w:r>
      <w:proofErr w:type="spellEnd"/>
      <w:r>
        <w:rPr>
          <w:rFonts w:ascii="Tahoma" w:hAnsi="Tahoma" w:cs="Tahoma"/>
        </w:rPr>
        <w:t xml:space="preserve"> Sanders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Ich </w:t>
      </w:r>
      <w:proofErr w:type="spellStart"/>
      <w:r>
        <w:rPr>
          <w:rFonts w:ascii="Tahoma" w:hAnsi="Tahoma" w:cs="Tahoma"/>
        </w:rPr>
        <w:t>seh</w:t>
      </w:r>
      <w:proofErr w:type="spellEnd"/>
      <w:r>
        <w:rPr>
          <w:rFonts w:ascii="Tahoma" w:hAnsi="Tahoma" w:cs="Tahoma"/>
        </w:rPr>
        <w:t xml:space="preserve"> ja nie welche</w:t>
      </w:r>
      <w:r>
        <w:rPr>
          <w:rFonts w:ascii="Tahoma" w:hAnsi="Tahoma" w:cs="Tahoma"/>
        </w:rPr>
        <w:t xml:space="preserve"> </w:t>
      </w:r>
      <w:hyperlink r:id="rId7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zu</w:t>
        </w:r>
        <w:r w:rsidRPr="00F36354">
          <w:rPr>
            <w:rStyle w:val="Hyperlink"/>
            <w:rFonts w:ascii="Tahoma" w:hAnsi="Tahoma" w:cs="Tahoma"/>
          </w:rPr>
          <w:t>m Text</w:t>
        </w:r>
      </w:hyperlink>
    </w:p>
    <w:p w:rsidR="00682A0A" w:rsidRDefault="00682A0A" w:rsidP="009706F4">
      <w:pPr>
        <w:rPr>
          <w:rFonts w:ascii="Tahoma" w:hAnsi="Tahoma" w:cs="Tahoma"/>
        </w:rPr>
      </w:pPr>
    </w:p>
    <w:p w:rsidR="00682A0A" w:rsidRDefault="00682A0A" w:rsidP="009706F4">
      <w:pPr>
        <w:rPr>
          <w:rFonts w:ascii="Tahoma" w:hAnsi="Tahoma" w:cs="Tahoma"/>
        </w:rPr>
      </w:pPr>
    </w:p>
    <w:p w:rsidR="00B868EB" w:rsidRDefault="00B868EB" w:rsidP="00B868EB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für Inklusion:</w:t>
      </w:r>
    </w:p>
    <w:p w:rsidR="00B868EB" w:rsidRDefault="00B868EB" w:rsidP="009706F4">
      <w:pPr>
        <w:rPr>
          <w:rFonts w:ascii="Tahoma" w:hAnsi="Tahoma" w:cs="Tahoma"/>
        </w:rPr>
      </w:pPr>
    </w:p>
    <w:p w:rsidR="00B933CB" w:rsidRDefault="00682A0A" w:rsidP="00B933CB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Jürgen Budde, Merle </w:t>
      </w:r>
      <w:proofErr w:type="spellStart"/>
      <w:r>
        <w:rPr>
          <w:rFonts w:ascii="Tahoma" w:hAnsi="Tahoma" w:cs="Tahoma"/>
        </w:rPr>
        <w:t>Hummrich</w:t>
      </w:r>
      <w:proofErr w:type="spellEnd"/>
      <w:r w:rsidR="00B868E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Reflexive Inklusion</w:t>
      </w:r>
      <w:r w:rsidR="00B933CB">
        <w:rPr>
          <w:rFonts w:ascii="Tahoma" w:hAnsi="Tahoma" w:cs="Tahoma"/>
        </w:rPr>
        <w:t xml:space="preserve"> </w:t>
      </w:r>
      <w:hyperlink r:id="rId8" w:history="1">
        <w:r w:rsidR="00B933CB" w:rsidRPr="00F36354">
          <w:rPr>
            <w:rStyle w:val="Hyperlink"/>
            <w:rFonts w:ascii="Arial" w:hAnsi="Arial" w:cs="Arial"/>
          </w:rPr>
          <w:t>→</w:t>
        </w:r>
        <w:r w:rsidR="00B933CB">
          <w:rPr>
            <w:rStyle w:val="Hyperlink"/>
            <w:rFonts w:ascii="Arial" w:hAnsi="Arial" w:cs="Arial"/>
          </w:rPr>
          <w:t xml:space="preserve"> </w:t>
        </w:r>
        <w:r w:rsidR="00B933CB">
          <w:rPr>
            <w:rStyle w:val="Hyperlink"/>
            <w:rFonts w:ascii="Tahoma" w:hAnsi="Tahoma" w:cs="Tahoma"/>
          </w:rPr>
          <w:t>zu</w:t>
        </w:r>
        <w:r w:rsidR="00B933CB" w:rsidRPr="00F36354">
          <w:rPr>
            <w:rStyle w:val="Hyperlink"/>
            <w:rFonts w:ascii="Tahoma" w:hAnsi="Tahoma" w:cs="Tahoma"/>
          </w:rPr>
          <w:t>m Text</w:t>
        </w:r>
      </w:hyperlink>
    </w:p>
    <w:p w:rsidR="00B933CB" w:rsidRDefault="00B933CB" w:rsidP="009706F4">
      <w:pPr>
        <w:rPr>
          <w:rFonts w:ascii="Tahoma" w:hAnsi="Tahoma" w:cs="Tahoma"/>
        </w:rPr>
      </w:pPr>
    </w:p>
    <w:p w:rsidR="00FC1683" w:rsidRDefault="00FC1683" w:rsidP="009706F4">
      <w:pPr>
        <w:rPr>
          <w:rFonts w:ascii="Tahoma" w:hAnsi="Tahoma" w:cs="Tahoma"/>
        </w:rPr>
      </w:pPr>
    </w:p>
    <w:p w:rsidR="00FC1683" w:rsidRDefault="00FC1683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Frohe Ostern wünscht das bidok-Team!</w:t>
      </w:r>
    </w:p>
    <w:p w:rsidR="00FC1683" w:rsidRDefault="00FC1683" w:rsidP="009706F4">
      <w:pPr>
        <w:rPr>
          <w:rFonts w:ascii="Tahoma" w:hAnsi="Tahoma" w:cs="Tahoma"/>
        </w:rPr>
      </w:pPr>
    </w:p>
    <w:p w:rsidR="00E159F6" w:rsidRPr="000A0027" w:rsidRDefault="00E159F6" w:rsidP="007F2E43">
      <w:pPr>
        <w:rPr>
          <w:rFonts w:ascii="Tahoma" w:hAnsi="Tahoma" w:cs="Tahoma"/>
        </w:rPr>
      </w:pPr>
      <w:bookmarkStart w:id="0" w:name="_GoBack"/>
      <w:bookmarkEnd w:id="0"/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nkl-04-13-budde-reflexiv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anders-verhaeltnis.htm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kronauer-inklusio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1162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7</cp:revision>
  <dcterms:created xsi:type="dcterms:W3CDTF">2017-03-14T09:02:00Z</dcterms:created>
  <dcterms:modified xsi:type="dcterms:W3CDTF">2017-04-12T07:31:00Z</dcterms:modified>
</cp:coreProperties>
</file>